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5166" w14:textId="514B9312" w:rsidR="006E0152" w:rsidRPr="002A3CB1" w:rsidRDefault="006E0152" w:rsidP="006E0152">
      <w:pPr>
        <w:pStyle w:val="Heading1"/>
        <w:rPr>
          <w:color w:val="000000" w:themeColor="text1"/>
          <w:sz w:val="22"/>
          <w:szCs w:val="22"/>
          <w:lang w:val="en-IE"/>
        </w:rPr>
      </w:pPr>
      <w:bookmarkStart w:id="0" w:name="_Toc482093979"/>
      <w:bookmarkStart w:id="1" w:name="_Toc482184125"/>
      <w:bookmarkStart w:id="2" w:name="_Toc485993103"/>
      <w:r w:rsidRPr="002A3CB1">
        <w:rPr>
          <w:color w:val="000000" w:themeColor="text1"/>
          <w:sz w:val="22"/>
          <w:szCs w:val="22"/>
          <w:lang w:val="en-IE"/>
        </w:rPr>
        <w:t>Child Safeguarding Statement</w:t>
      </w:r>
      <w:bookmarkEnd w:id="0"/>
      <w:bookmarkEnd w:id="1"/>
      <w:bookmarkEnd w:id="2"/>
    </w:p>
    <w:p w14:paraId="512968A1" w14:textId="77777777" w:rsidR="006E0152" w:rsidRPr="002A3CB1" w:rsidRDefault="006E0152" w:rsidP="006E0152">
      <w:pPr>
        <w:rPr>
          <w:rFonts w:ascii="Arial" w:hAnsi="Arial"/>
          <w:sz w:val="22"/>
          <w:szCs w:val="22"/>
          <w:lang w:val="ga-IE"/>
        </w:rPr>
      </w:pPr>
    </w:p>
    <w:p w14:paraId="2D4EB49F" w14:textId="77777777" w:rsidR="009220EB" w:rsidRPr="002A3CB1" w:rsidRDefault="009220EB" w:rsidP="006E0152">
      <w:pPr>
        <w:rPr>
          <w:rFonts w:ascii="Arial" w:hAnsi="Arial"/>
          <w:sz w:val="22"/>
          <w:szCs w:val="22"/>
          <w:lang w:val="ga-IE"/>
        </w:rPr>
      </w:pPr>
    </w:p>
    <w:p w14:paraId="0A883F0B" w14:textId="77777777" w:rsidR="002C0F70" w:rsidRPr="002A3CB1" w:rsidRDefault="006E0152" w:rsidP="006E0152">
      <w:pPr>
        <w:pStyle w:val="ListParagraph"/>
        <w:numPr>
          <w:ilvl w:val="0"/>
          <w:numId w:val="3"/>
        </w:numPr>
        <w:ind w:left="426" w:hanging="426"/>
        <w:rPr>
          <w:rFonts w:ascii="Arial" w:hAnsi="Arial"/>
          <w:sz w:val="22"/>
          <w:szCs w:val="22"/>
        </w:rPr>
      </w:pPr>
      <w:bookmarkStart w:id="3" w:name="_Toc454360030"/>
      <w:bookmarkStart w:id="4" w:name="_Toc454445292"/>
      <w:bookmarkStart w:id="5" w:name="_Toc454445452"/>
      <w:bookmarkStart w:id="6" w:name="_Toc454445522"/>
      <w:r w:rsidRPr="002A3CB1">
        <w:rPr>
          <w:rFonts w:ascii="Arial" w:hAnsi="Arial"/>
          <w:b/>
          <w:sz w:val="22"/>
          <w:szCs w:val="22"/>
        </w:rPr>
        <w:t xml:space="preserve">Name of </w:t>
      </w:r>
      <w:bookmarkEnd w:id="3"/>
      <w:bookmarkEnd w:id="4"/>
      <w:bookmarkEnd w:id="5"/>
      <w:bookmarkEnd w:id="6"/>
      <w:r w:rsidR="002C0F70" w:rsidRPr="002A3CB1">
        <w:rPr>
          <w:rFonts w:ascii="Arial" w:hAnsi="Arial"/>
          <w:b/>
          <w:sz w:val="22"/>
          <w:szCs w:val="22"/>
        </w:rPr>
        <w:t>service being provided:</w:t>
      </w:r>
    </w:p>
    <w:p w14:paraId="5FA0D779" w14:textId="07F7B1D8" w:rsidR="006E0152" w:rsidRPr="002A3CB1" w:rsidRDefault="002C0F70" w:rsidP="002C0F70">
      <w:pPr>
        <w:pStyle w:val="ListParagraph"/>
        <w:ind w:left="426"/>
        <w:rPr>
          <w:rFonts w:ascii="Arial" w:hAnsi="Arial"/>
          <w:sz w:val="22"/>
          <w:szCs w:val="22"/>
        </w:rPr>
      </w:pPr>
      <w:r w:rsidRPr="002A3CB1">
        <w:rPr>
          <w:rFonts w:ascii="Arial" w:hAnsi="Arial"/>
          <w:sz w:val="22"/>
          <w:szCs w:val="22"/>
        </w:rPr>
        <w:t>WhistleBlast Quartet</w:t>
      </w:r>
    </w:p>
    <w:p w14:paraId="446E5714" w14:textId="77777777" w:rsidR="002C0F70" w:rsidRPr="002A3CB1" w:rsidRDefault="002C0F70" w:rsidP="002C0F70">
      <w:pPr>
        <w:pStyle w:val="ListParagraph"/>
        <w:ind w:left="426"/>
        <w:rPr>
          <w:rFonts w:ascii="Arial" w:hAnsi="Arial"/>
          <w:sz w:val="22"/>
          <w:szCs w:val="22"/>
        </w:rPr>
      </w:pPr>
    </w:p>
    <w:p w14:paraId="22C1AF80" w14:textId="77777777" w:rsidR="00AA6102" w:rsidRPr="002A3CB1" w:rsidRDefault="006E0152" w:rsidP="006E0152">
      <w:pPr>
        <w:pStyle w:val="ListParagraph"/>
        <w:numPr>
          <w:ilvl w:val="0"/>
          <w:numId w:val="3"/>
        </w:numPr>
        <w:ind w:left="426" w:hanging="426"/>
        <w:rPr>
          <w:rFonts w:ascii="Arial" w:hAnsi="Arial"/>
          <w:sz w:val="22"/>
          <w:szCs w:val="22"/>
        </w:rPr>
      </w:pPr>
      <w:r w:rsidRPr="002A3CB1">
        <w:rPr>
          <w:rFonts w:ascii="Arial" w:hAnsi="Arial"/>
          <w:b/>
          <w:sz w:val="22"/>
          <w:szCs w:val="22"/>
        </w:rPr>
        <w:t xml:space="preserve">Nature of service and principles to safeguard children from harm </w:t>
      </w:r>
    </w:p>
    <w:p w14:paraId="2D31808C" w14:textId="1089C871" w:rsidR="00AA6102" w:rsidRPr="002A3CB1" w:rsidRDefault="00AA6102" w:rsidP="00AA6102">
      <w:pPr>
        <w:autoSpaceDE/>
        <w:autoSpaceDN/>
        <w:adjustRightInd/>
        <w:ind w:left="426"/>
        <w:rPr>
          <w:rFonts w:ascii="Arial" w:eastAsia="Times New Roman" w:hAnsi="Arial"/>
          <w:sz w:val="22"/>
          <w:szCs w:val="22"/>
          <w:lang w:val="en-GB" w:eastAsia="en-GB"/>
        </w:rPr>
      </w:pPr>
      <w:r w:rsidRPr="002A3CB1">
        <w:rPr>
          <w:rFonts w:ascii="Arial" w:hAnsi="Arial"/>
          <w:sz w:val="22"/>
          <w:szCs w:val="22"/>
        </w:rPr>
        <w:t xml:space="preserve">The WhistleBlast Quartet </w:t>
      </w:r>
      <w:r w:rsidRPr="002A3CB1">
        <w:rPr>
          <w:rFonts w:ascii="Arial" w:eastAsia="Times New Roman" w:hAnsi="Arial"/>
          <w:color w:val="000000"/>
          <w:sz w:val="22"/>
          <w:szCs w:val="22"/>
          <w:shd w:val="clear" w:color="auto" w:fill="FFFFFF"/>
          <w:lang w:val="en-GB" w:eastAsia="en-GB"/>
        </w:rPr>
        <w:t>offers a wide range of accessible musical experiences including performances and recitals for any occasion and workshop programmes for young people and adults, including those with special needs.</w:t>
      </w:r>
    </w:p>
    <w:p w14:paraId="38772DF3" w14:textId="4B383D8E" w:rsidR="006E0152" w:rsidRPr="002A3CB1" w:rsidRDefault="00AA6102" w:rsidP="00AA6102">
      <w:pPr>
        <w:pStyle w:val="ListParagraph"/>
        <w:ind w:left="426"/>
        <w:rPr>
          <w:rFonts w:ascii="Arial" w:hAnsi="Arial"/>
          <w:sz w:val="22"/>
          <w:szCs w:val="22"/>
        </w:rPr>
      </w:pPr>
      <w:r w:rsidRPr="002A3CB1">
        <w:rPr>
          <w:rStyle w:val="A2"/>
          <w:rFonts w:ascii="Arial" w:hAnsi="Arial"/>
          <w:color w:val="auto"/>
          <w:sz w:val="22"/>
          <w:szCs w:val="22"/>
        </w:rPr>
        <w:t>We</w:t>
      </w:r>
      <w:r w:rsidRPr="002A3CB1">
        <w:rPr>
          <w:rStyle w:val="A2"/>
          <w:rFonts w:ascii="Arial" w:hAnsi="Arial"/>
          <w:sz w:val="22"/>
          <w:szCs w:val="22"/>
        </w:rPr>
        <w:t xml:space="preserve"> </w:t>
      </w:r>
      <w:r w:rsidRPr="002A3CB1">
        <w:rPr>
          <w:rStyle w:val="A2"/>
          <w:rFonts w:ascii="Arial" w:hAnsi="Arial"/>
          <w:color w:val="auto"/>
          <w:sz w:val="22"/>
          <w:szCs w:val="22"/>
        </w:rPr>
        <w:t>are committed to a child-centered approach to our work with children</w:t>
      </w:r>
      <w:r w:rsidRPr="002A3CB1">
        <w:rPr>
          <w:rStyle w:val="A6"/>
          <w:rFonts w:ascii="Arial" w:hAnsi="Arial"/>
          <w:sz w:val="22"/>
          <w:szCs w:val="22"/>
        </w:rPr>
        <w:t xml:space="preserve"> </w:t>
      </w:r>
      <w:r w:rsidRPr="002A3CB1">
        <w:rPr>
          <w:rStyle w:val="A2"/>
          <w:rFonts w:ascii="Arial" w:hAnsi="Arial"/>
          <w:color w:val="auto"/>
          <w:sz w:val="22"/>
          <w:szCs w:val="22"/>
        </w:rPr>
        <w:t xml:space="preserve">and young people. We undertake to provide a safe environment and experience, where the welfare of the child/young person is paramount. </w:t>
      </w:r>
    </w:p>
    <w:p w14:paraId="4F2A99D2" w14:textId="77777777" w:rsidR="006E0152" w:rsidRPr="002A3CB1" w:rsidRDefault="006E0152" w:rsidP="006E0152">
      <w:pPr>
        <w:rPr>
          <w:rFonts w:ascii="Arial" w:hAnsi="Arial"/>
          <w:sz w:val="22"/>
          <w:szCs w:val="22"/>
        </w:rPr>
      </w:pPr>
    </w:p>
    <w:p w14:paraId="305BDF43" w14:textId="77777777" w:rsidR="006E0152" w:rsidRPr="002A3CB1" w:rsidRDefault="006E0152" w:rsidP="006E0152">
      <w:pPr>
        <w:pStyle w:val="ListParagraph"/>
        <w:numPr>
          <w:ilvl w:val="0"/>
          <w:numId w:val="3"/>
        </w:numPr>
        <w:ind w:left="426" w:hanging="426"/>
        <w:rPr>
          <w:rFonts w:ascii="Arial" w:hAnsi="Arial"/>
          <w:b/>
          <w:sz w:val="22"/>
          <w:szCs w:val="22"/>
        </w:rPr>
      </w:pPr>
      <w:bookmarkStart w:id="7" w:name="_Toc454360035"/>
      <w:bookmarkStart w:id="8" w:name="_Toc454445297"/>
      <w:bookmarkStart w:id="9" w:name="_Toc454445457"/>
      <w:bookmarkStart w:id="10" w:name="_Toc454445527"/>
      <w:r w:rsidRPr="002A3CB1">
        <w:rPr>
          <w:rFonts w:ascii="Arial" w:hAnsi="Arial"/>
          <w:b/>
          <w:sz w:val="22"/>
          <w:szCs w:val="22"/>
        </w:rPr>
        <w:t>Risk Assessment</w:t>
      </w:r>
      <w:bookmarkEnd w:id="7"/>
      <w:bookmarkEnd w:id="8"/>
      <w:bookmarkEnd w:id="9"/>
      <w:bookmarkEnd w:id="10"/>
    </w:p>
    <w:p w14:paraId="4F90DC3D" w14:textId="77777777" w:rsidR="006E0152" w:rsidRPr="002A3CB1" w:rsidRDefault="006E0152" w:rsidP="006E0152">
      <w:pPr>
        <w:rPr>
          <w:rFonts w:ascii="Arial" w:hAnsi="Arial"/>
          <w:sz w:val="22"/>
          <w:szCs w:val="22"/>
        </w:rPr>
      </w:pPr>
    </w:p>
    <w:p w14:paraId="035DF445" w14:textId="77777777" w:rsidR="006E0152" w:rsidRPr="002A3CB1" w:rsidRDefault="001972AA" w:rsidP="006E0152">
      <w:pPr>
        <w:rPr>
          <w:rFonts w:ascii="Arial" w:hAnsi="Arial"/>
          <w:sz w:val="22"/>
          <w:szCs w:val="22"/>
        </w:rPr>
      </w:pPr>
      <w:r w:rsidRPr="002A3CB1">
        <w:rPr>
          <w:rFonts w:ascii="Arial" w:eastAsia="Times New Roman" w:hAnsi="Arial"/>
          <w:sz w:val="22"/>
          <w:szCs w:val="22"/>
        </w:rPr>
        <w:t>We have carried out an assessment of any potential for harm to a child while availing of our services including the area of online safety when accessing the internet</w:t>
      </w:r>
      <w:r w:rsidR="006E0152" w:rsidRPr="002A3CB1">
        <w:rPr>
          <w:rFonts w:ascii="Arial" w:hAnsi="Arial"/>
          <w:sz w:val="22"/>
          <w:szCs w:val="22"/>
        </w:rPr>
        <w:t>. Below is a list of the areas of risk identified and the list of procedures for managing these risks.</w:t>
      </w:r>
    </w:p>
    <w:p w14:paraId="4670A1F4" w14:textId="77777777" w:rsidR="006E0152" w:rsidRPr="002A3CB1" w:rsidRDefault="006E0152" w:rsidP="006E0152">
      <w:pPr>
        <w:rPr>
          <w:rFonts w:ascii="Arial" w:hAnsi="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6E0152" w:rsidRPr="002A3CB1" w14:paraId="3DDF6530" w14:textId="77777777" w:rsidTr="006E0152">
        <w:tc>
          <w:tcPr>
            <w:tcW w:w="426" w:type="dxa"/>
            <w:shd w:val="clear" w:color="auto" w:fill="13B5EA"/>
          </w:tcPr>
          <w:p w14:paraId="6A01F1E4" w14:textId="77777777" w:rsidR="006E0152" w:rsidRPr="002A3CB1" w:rsidRDefault="006E0152" w:rsidP="006E0152">
            <w:pPr>
              <w:rPr>
                <w:rFonts w:ascii="Arial" w:hAnsi="Arial"/>
                <w:sz w:val="22"/>
                <w:szCs w:val="22"/>
              </w:rPr>
            </w:pPr>
          </w:p>
        </w:tc>
        <w:tc>
          <w:tcPr>
            <w:tcW w:w="3827" w:type="dxa"/>
            <w:shd w:val="clear" w:color="auto" w:fill="13B5EA"/>
          </w:tcPr>
          <w:p w14:paraId="67A9B961" w14:textId="77777777" w:rsidR="006E0152" w:rsidRPr="00D07095" w:rsidRDefault="006E0152" w:rsidP="006E0152">
            <w:pPr>
              <w:rPr>
                <w:rFonts w:ascii="Arial" w:hAnsi="Arial"/>
                <w:b/>
                <w:sz w:val="22"/>
                <w:szCs w:val="22"/>
              </w:rPr>
            </w:pPr>
            <w:r w:rsidRPr="00D07095">
              <w:rPr>
                <w:rFonts w:ascii="Arial" w:hAnsi="Arial"/>
                <w:b/>
                <w:sz w:val="22"/>
                <w:szCs w:val="22"/>
              </w:rPr>
              <w:t>Risk identified</w:t>
            </w:r>
          </w:p>
        </w:tc>
        <w:tc>
          <w:tcPr>
            <w:tcW w:w="5103" w:type="dxa"/>
            <w:shd w:val="clear" w:color="auto" w:fill="13B5EA"/>
          </w:tcPr>
          <w:p w14:paraId="75399A3F" w14:textId="77777777" w:rsidR="006E0152" w:rsidRPr="002A3CB1" w:rsidRDefault="006E0152" w:rsidP="006E0152">
            <w:pPr>
              <w:rPr>
                <w:rFonts w:ascii="Arial" w:hAnsi="Arial"/>
                <w:b/>
                <w:sz w:val="22"/>
                <w:szCs w:val="22"/>
              </w:rPr>
            </w:pPr>
            <w:r w:rsidRPr="00D07095">
              <w:rPr>
                <w:rFonts w:ascii="Arial" w:hAnsi="Arial"/>
                <w:b/>
                <w:sz w:val="22"/>
                <w:szCs w:val="22"/>
              </w:rPr>
              <w:t>Procedure in place to manage identified risk</w:t>
            </w:r>
          </w:p>
        </w:tc>
      </w:tr>
      <w:tr w:rsidR="006E0152" w:rsidRPr="002A3CB1" w14:paraId="57D65402" w14:textId="77777777" w:rsidTr="006E0152">
        <w:tc>
          <w:tcPr>
            <w:tcW w:w="426" w:type="dxa"/>
          </w:tcPr>
          <w:p w14:paraId="3E39B77B" w14:textId="77777777" w:rsidR="006E0152" w:rsidRPr="002A3CB1" w:rsidRDefault="006E0152" w:rsidP="006E0152">
            <w:pPr>
              <w:rPr>
                <w:rFonts w:ascii="Arial" w:hAnsi="Arial"/>
                <w:sz w:val="22"/>
                <w:szCs w:val="22"/>
              </w:rPr>
            </w:pPr>
            <w:r w:rsidRPr="002A3CB1">
              <w:rPr>
                <w:rFonts w:ascii="Arial" w:hAnsi="Arial"/>
                <w:sz w:val="22"/>
                <w:szCs w:val="22"/>
              </w:rPr>
              <w:t>1</w:t>
            </w:r>
          </w:p>
        </w:tc>
        <w:tc>
          <w:tcPr>
            <w:tcW w:w="3827" w:type="dxa"/>
          </w:tcPr>
          <w:p w14:paraId="4740C9BE" w14:textId="62036921" w:rsidR="006E0152" w:rsidRPr="002A3CB1" w:rsidRDefault="00581D94" w:rsidP="006E0152">
            <w:pPr>
              <w:rPr>
                <w:rFonts w:ascii="Arial" w:hAnsi="Arial"/>
                <w:sz w:val="22"/>
                <w:szCs w:val="22"/>
              </w:rPr>
            </w:pPr>
            <w:r>
              <w:rPr>
                <w:rFonts w:ascii="Arial" w:hAnsi="Arial"/>
                <w:sz w:val="22"/>
                <w:szCs w:val="22"/>
              </w:rPr>
              <w:t>Music stands</w:t>
            </w:r>
            <w:r w:rsidR="003C77D8">
              <w:rPr>
                <w:rFonts w:ascii="Arial" w:hAnsi="Arial"/>
                <w:sz w:val="22"/>
                <w:szCs w:val="22"/>
              </w:rPr>
              <w:t>, leads</w:t>
            </w:r>
          </w:p>
        </w:tc>
        <w:tc>
          <w:tcPr>
            <w:tcW w:w="5103" w:type="dxa"/>
          </w:tcPr>
          <w:p w14:paraId="4E3A2E08" w14:textId="158DEF4A" w:rsidR="005B774D" w:rsidRPr="00163786" w:rsidRDefault="002A49C4" w:rsidP="002A49C4">
            <w:pPr>
              <w:pStyle w:val="Pa3"/>
              <w:rPr>
                <w:rStyle w:val="A2"/>
                <w:rFonts w:ascii="Arial" w:eastAsiaTheme="majorEastAsia" w:hAnsi="Arial" w:cs="Arial"/>
                <w:color w:val="auto"/>
                <w:sz w:val="22"/>
                <w:szCs w:val="22"/>
              </w:rPr>
            </w:pPr>
            <w:r>
              <w:rPr>
                <w:rStyle w:val="A2"/>
                <w:rFonts w:ascii="Arial" w:eastAsiaTheme="majorEastAsia" w:hAnsi="Arial" w:cs="Arial"/>
                <w:color w:val="auto"/>
                <w:sz w:val="22"/>
                <w:szCs w:val="22"/>
              </w:rPr>
              <w:t>The WhistleBlast Quartet will ensure all equipment is set up safely</w:t>
            </w:r>
            <w:r w:rsidR="000D04DE">
              <w:rPr>
                <w:rStyle w:val="A2"/>
                <w:rFonts w:ascii="Arial" w:eastAsiaTheme="majorEastAsia" w:hAnsi="Arial" w:cs="Arial"/>
                <w:color w:val="auto"/>
                <w:sz w:val="22"/>
                <w:szCs w:val="22"/>
              </w:rPr>
              <w:t xml:space="preserve">. At the beginning of each workshop the Relevant Person will outline </w:t>
            </w:r>
            <w:r w:rsidR="00000889">
              <w:rPr>
                <w:rStyle w:val="A2"/>
                <w:rFonts w:ascii="Arial" w:eastAsiaTheme="majorEastAsia" w:hAnsi="Arial" w:cs="Arial"/>
                <w:color w:val="auto"/>
                <w:sz w:val="22"/>
                <w:szCs w:val="22"/>
              </w:rPr>
              <w:t>risks and procedures to follow.</w:t>
            </w:r>
            <w:r w:rsidR="005B774D" w:rsidRPr="00163786">
              <w:rPr>
                <w:rStyle w:val="A2"/>
                <w:rFonts w:ascii="Arial" w:eastAsiaTheme="majorEastAsia" w:hAnsi="Arial" w:cs="Arial"/>
                <w:color w:val="auto"/>
                <w:sz w:val="22"/>
                <w:szCs w:val="22"/>
              </w:rPr>
              <w:t xml:space="preserve"> </w:t>
            </w:r>
          </w:p>
          <w:p w14:paraId="1B88529F" w14:textId="77777777" w:rsidR="006E0152" w:rsidRPr="002A3CB1" w:rsidRDefault="006E0152" w:rsidP="006E0152">
            <w:pPr>
              <w:rPr>
                <w:rFonts w:ascii="Arial" w:hAnsi="Arial"/>
                <w:sz w:val="22"/>
                <w:szCs w:val="22"/>
              </w:rPr>
            </w:pPr>
          </w:p>
        </w:tc>
      </w:tr>
      <w:tr w:rsidR="006E0152" w:rsidRPr="002A3CB1" w14:paraId="045B4D28" w14:textId="77777777" w:rsidTr="006E0152">
        <w:tc>
          <w:tcPr>
            <w:tcW w:w="426" w:type="dxa"/>
          </w:tcPr>
          <w:p w14:paraId="5461BE0C" w14:textId="77777777" w:rsidR="006E0152" w:rsidRPr="002A3CB1" w:rsidRDefault="006E0152" w:rsidP="006E0152">
            <w:pPr>
              <w:rPr>
                <w:rFonts w:ascii="Arial" w:hAnsi="Arial"/>
                <w:sz w:val="22"/>
                <w:szCs w:val="22"/>
              </w:rPr>
            </w:pPr>
            <w:r w:rsidRPr="002A3CB1">
              <w:rPr>
                <w:rFonts w:ascii="Arial" w:hAnsi="Arial"/>
                <w:sz w:val="22"/>
                <w:szCs w:val="22"/>
              </w:rPr>
              <w:t>2</w:t>
            </w:r>
          </w:p>
        </w:tc>
        <w:tc>
          <w:tcPr>
            <w:tcW w:w="3827" w:type="dxa"/>
          </w:tcPr>
          <w:p w14:paraId="44C4ACB9" w14:textId="37E4F686" w:rsidR="006E0152" w:rsidRPr="002A3CB1" w:rsidRDefault="003C77D8" w:rsidP="006E0152">
            <w:pPr>
              <w:rPr>
                <w:rFonts w:ascii="Arial" w:hAnsi="Arial"/>
                <w:sz w:val="22"/>
                <w:szCs w:val="22"/>
              </w:rPr>
            </w:pPr>
            <w:r>
              <w:rPr>
                <w:rFonts w:ascii="Arial" w:hAnsi="Arial"/>
                <w:sz w:val="22"/>
                <w:szCs w:val="22"/>
              </w:rPr>
              <w:t>Physical contact</w:t>
            </w:r>
          </w:p>
        </w:tc>
        <w:tc>
          <w:tcPr>
            <w:tcW w:w="5103" w:type="dxa"/>
          </w:tcPr>
          <w:p w14:paraId="5FC97F9A" w14:textId="77777777" w:rsidR="00C0566C" w:rsidRPr="00163786" w:rsidRDefault="00C0566C" w:rsidP="00C0566C">
            <w:pPr>
              <w:rPr>
                <w:rFonts w:ascii="Arial" w:hAnsi="Arial"/>
                <w:sz w:val="22"/>
                <w:szCs w:val="22"/>
                <w:lang w:val="en-US"/>
              </w:rPr>
            </w:pPr>
            <w:r w:rsidRPr="00163786">
              <w:rPr>
                <w:rFonts w:ascii="Arial" w:hAnsi="Arial"/>
                <w:sz w:val="22"/>
                <w:szCs w:val="22"/>
                <w:lang w:val="en-US"/>
              </w:rPr>
              <w:t>Physical inappropriate contact is not allowed under our guidelines. Given the nature of our work and institution physical contact is inevitable so staff need to follow these guidelines:</w:t>
            </w:r>
          </w:p>
          <w:p w14:paraId="503126D0" w14:textId="77777777" w:rsidR="00C0566C" w:rsidRPr="00163786" w:rsidRDefault="00C0566C" w:rsidP="00C0566C">
            <w:pPr>
              <w:rPr>
                <w:rFonts w:ascii="Arial" w:hAnsi="Arial"/>
                <w:sz w:val="22"/>
                <w:szCs w:val="22"/>
                <w:lang w:val="en-US"/>
              </w:rPr>
            </w:pPr>
          </w:p>
          <w:p w14:paraId="08AADAAC" w14:textId="77777777" w:rsidR="00C0566C" w:rsidRPr="00163786" w:rsidRDefault="00C0566C" w:rsidP="00C0566C">
            <w:pPr>
              <w:pStyle w:val="Pa3"/>
              <w:numPr>
                <w:ilvl w:val="0"/>
                <w:numId w:val="6"/>
              </w:numPr>
              <w:rPr>
                <w:rFonts w:ascii="Arial" w:hAnsi="Arial" w:cs="Arial"/>
                <w:sz w:val="22"/>
                <w:szCs w:val="22"/>
              </w:rPr>
            </w:pPr>
            <w:r w:rsidRPr="00163786">
              <w:rPr>
                <w:rStyle w:val="A2"/>
                <w:rFonts w:ascii="Arial" w:eastAsiaTheme="majorEastAsia" w:hAnsi="Arial" w:cs="Arial"/>
                <w:color w:val="auto"/>
                <w:sz w:val="22"/>
                <w:szCs w:val="22"/>
              </w:rPr>
              <w:t xml:space="preserve">Seek consent of child/young person in relation to physical contact (except in an emergency or a dangerous situation); </w:t>
            </w:r>
          </w:p>
          <w:p w14:paraId="1D93BB8C" w14:textId="77777777" w:rsidR="00C0566C" w:rsidRPr="00163786" w:rsidRDefault="00C0566C" w:rsidP="00C0566C">
            <w:pPr>
              <w:pStyle w:val="Pa3"/>
              <w:numPr>
                <w:ilvl w:val="0"/>
                <w:numId w:val="7"/>
              </w:numPr>
              <w:rPr>
                <w:rFonts w:ascii="Arial" w:hAnsi="Arial" w:cs="Arial"/>
                <w:sz w:val="22"/>
                <w:szCs w:val="22"/>
              </w:rPr>
            </w:pPr>
            <w:r w:rsidRPr="00163786">
              <w:rPr>
                <w:rStyle w:val="A2"/>
                <w:rFonts w:ascii="Arial" w:eastAsiaTheme="majorEastAsia" w:hAnsi="Arial" w:cs="Arial"/>
                <w:color w:val="auto"/>
                <w:sz w:val="22"/>
                <w:szCs w:val="22"/>
              </w:rPr>
              <w:t xml:space="preserve">Avoid horseplay or inappropriate touch; </w:t>
            </w:r>
          </w:p>
          <w:p w14:paraId="478EB324" w14:textId="77777777" w:rsidR="00C0566C" w:rsidRPr="00163786" w:rsidRDefault="00C0566C" w:rsidP="00C0566C">
            <w:pPr>
              <w:pStyle w:val="Pa3"/>
              <w:numPr>
                <w:ilvl w:val="0"/>
                <w:numId w:val="7"/>
              </w:numPr>
              <w:rPr>
                <w:rFonts w:ascii="Arial" w:hAnsi="Arial" w:cs="Arial"/>
                <w:sz w:val="22"/>
                <w:szCs w:val="22"/>
              </w:rPr>
            </w:pPr>
            <w:r w:rsidRPr="00163786">
              <w:rPr>
                <w:rStyle w:val="A2"/>
                <w:rFonts w:ascii="Arial" w:eastAsiaTheme="majorEastAsia" w:hAnsi="Arial" w:cs="Arial"/>
                <w:color w:val="auto"/>
                <w:sz w:val="22"/>
                <w:szCs w:val="22"/>
              </w:rPr>
              <w:t xml:space="preserve">Check with children/young people about their level of comfort when </w:t>
            </w:r>
          </w:p>
          <w:p w14:paraId="487B3848" w14:textId="77777777" w:rsidR="00C0566C" w:rsidRPr="00163786" w:rsidRDefault="00C0566C" w:rsidP="00C0566C">
            <w:pPr>
              <w:pStyle w:val="Pa3"/>
              <w:ind w:left="720"/>
              <w:rPr>
                <w:rStyle w:val="A2"/>
                <w:rFonts w:ascii="Arial" w:eastAsiaTheme="majorEastAsia" w:hAnsi="Arial" w:cs="Arial"/>
                <w:color w:val="auto"/>
                <w:sz w:val="22"/>
                <w:szCs w:val="22"/>
              </w:rPr>
            </w:pPr>
            <w:r w:rsidRPr="00163786">
              <w:rPr>
                <w:rStyle w:val="A2"/>
                <w:rFonts w:ascii="Arial" w:eastAsiaTheme="majorEastAsia" w:hAnsi="Arial" w:cs="Arial"/>
                <w:color w:val="auto"/>
                <w:sz w:val="22"/>
                <w:szCs w:val="22"/>
              </w:rPr>
              <w:t xml:space="preserve">doing touch exercises. </w:t>
            </w:r>
          </w:p>
          <w:p w14:paraId="4823114B" w14:textId="77777777" w:rsidR="006E0152" w:rsidRPr="002A3CB1" w:rsidRDefault="006E0152" w:rsidP="006E0152">
            <w:pPr>
              <w:rPr>
                <w:rFonts w:ascii="Arial" w:hAnsi="Arial"/>
                <w:sz w:val="22"/>
                <w:szCs w:val="22"/>
              </w:rPr>
            </w:pPr>
          </w:p>
        </w:tc>
      </w:tr>
      <w:tr w:rsidR="006E0152" w:rsidRPr="002A3CB1" w14:paraId="27018A62" w14:textId="77777777" w:rsidTr="00000889">
        <w:trPr>
          <w:trHeight w:val="200"/>
        </w:trPr>
        <w:tc>
          <w:tcPr>
            <w:tcW w:w="426" w:type="dxa"/>
          </w:tcPr>
          <w:p w14:paraId="3DABA204" w14:textId="77777777" w:rsidR="006E0152" w:rsidRPr="002A3CB1" w:rsidRDefault="006E0152" w:rsidP="006E0152">
            <w:pPr>
              <w:rPr>
                <w:rFonts w:ascii="Arial" w:hAnsi="Arial"/>
                <w:sz w:val="22"/>
                <w:szCs w:val="22"/>
              </w:rPr>
            </w:pPr>
            <w:r w:rsidRPr="002A3CB1">
              <w:rPr>
                <w:rFonts w:ascii="Arial" w:hAnsi="Arial"/>
                <w:sz w:val="22"/>
                <w:szCs w:val="22"/>
              </w:rPr>
              <w:t>3</w:t>
            </w:r>
          </w:p>
        </w:tc>
        <w:tc>
          <w:tcPr>
            <w:tcW w:w="3827" w:type="dxa"/>
          </w:tcPr>
          <w:p w14:paraId="7C734CEA" w14:textId="65D23CDB" w:rsidR="006E0152" w:rsidRPr="002A3CB1" w:rsidRDefault="003C77D8" w:rsidP="006E0152">
            <w:pPr>
              <w:rPr>
                <w:rFonts w:ascii="Arial" w:hAnsi="Arial"/>
                <w:sz w:val="22"/>
                <w:szCs w:val="22"/>
              </w:rPr>
            </w:pPr>
            <w:r>
              <w:rPr>
                <w:rFonts w:ascii="Arial" w:hAnsi="Arial"/>
                <w:sz w:val="22"/>
                <w:szCs w:val="22"/>
              </w:rPr>
              <w:t>Temporary staff</w:t>
            </w:r>
          </w:p>
        </w:tc>
        <w:tc>
          <w:tcPr>
            <w:tcW w:w="5103" w:type="dxa"/>
          </w:tcPr>
          <w:p w14:paraId="11FB7EAE" w14:textId="77777777" w:rsidR="00C0566C" w:rsidRPr="00163786" w:rsidRDefault="00C0566C" w:rsidP="00C0566C">
            <w:pPr>
              <w:pStyle w:val="Pa3"/>
              <w:rPr>
                <w:rStyle w:val="A2"/>
                <w:rFonts w:ascii="Arial" w:eastAsiaTheme="majorEastAsia" w:hAnsi="Arial" w:cs="Arial"/>
                <w:color w:val="auto"/>
                <w:sz w:val="22"/>
                <w:szCs w:val="22"/>
              </w:rPr>
            </w:pPr>
            <w:r w:rsidRPr="00163786">
              <w:rPr>
                <w:rStyle w:val="A2"/>
                <w:rFonts w:ascii="Arial" w:eastAsiaTheme="majorEastAsia" w:hAnsi="Arial" w:cs="Arial"/>
                <w:color w:val="auto"/>
                <w:sz w:val="22"/>
                <w:szCs w:val="22"/>
              </w:rPr>
              <w:t>The WhistleBlast Quartet will ensure that staff are carefully selected, trained and supervised to provide a safe environment for all children and young people. Those chosen to be employed will be not allowed to take their position if any of the below transpire:</w:t>
            </w:r>
          </w:p>
          <w:p w14:paraId="7837A629" w14:textId="77777777" w:rsidR="00C0566C" w:rsidRPr="00163786" w:rsidRDefault="00C0566C" w:rsidP="00C0566C">
            <w:pPr>
              <w:rPr>
                <w:rFonts w:ascii="Arial" w:hAnsi="Arial"/>
                <w:sz w:val="22"/>
                <w:szCs w:val="22"/>
                <w:lang w:val="en-US"/>
              </w:rPr>
            </w:pPr>
          </w:p>
          <w:p w14:paraId="09EE61A4" w14:textId="77777777" w:rsidR="00C0566C" w:rsidRPr="00163786" w:rsidRDefault="00C0566C" w:rsidP="00C0566C">
            <w:pPr>
              <w:pStyle w:val="Pa3"/>
              <w:numPr>
                <w:ilvl w:val="0"/>
                <w:numId w:val="8"/>
              </w:numPr>
              <w:rPr>
                <w:rFonts w:ascii="Arial" w:hAnsi="Arial" w:cs="Arial"/>
                <w:sz w:val="22"/>
                <w:szCs w:val="22"/>
              </w:rPr>
            </w:pPr>
            <w:r w:rsidRPr="00163786">
              <w:rPr>
                <w:rStyle w:val="A9"/>
                <w:rFonts w:ascii="Arial" w:hAnsi="Arial" w:cs="Arial"/>
                <w:sz w:val="22"/>
                <w:szCs w:val="22"/>
              </w:rPr>
              <w:t xml:space="preserve">If there is </w:t>
            </w:r>
            <w:r w:rsidRPr="00163786">
              <w:rPr>
                <w:rStyle w:val="A2"/>
                <w:rFonts w:ascii="Arial" w:eastAsiaTheme="majorEastAsia" w:hAnsi="Arial" w:cs="Arial"/>
                <w:color w:val="auto"/>
                <w:sz w:val="22"/>
                <w:szCs w:val="22"/>
              </w:rPr>
              <w:t xml:space="preserve">a history of child-related convictions; </w:t>
            </w:r>
          </w:p>
          <w:p w14:paraId="1924960A" w14:textId="77777777" w:rsidR="00C0566C" w:rsidRPr="00163786" w:rsidRDefault="00C0566C" w:rsidP="00C0566C">
            <w:pPr>
              <w:pStyle w:val="Pa3"/>
              <w:numPr>
                <w:ilvl w:val="0"/>
                <w:numId w:val="8"/>
              </w:numPr>
              <w:rPr>
                <w:rFonts w:ascii="Arial" w:hAnsi="Arial" w:cs="Arial"/>
                <w:sz w:val="22"/>
                <w:szCs w:val="22"/>
              </w:rPr>
            </w:pPr>
            <w:r w:rsidRPr="00163786">
              <w:rPr>
                <w:rStyle w:val="A9"/>
                <w:rFonts w:ascii="Arial" w:hAnsi="Arial" w:cs="Arial"/>
                <w:sz w:val="22"/>
                <w:szCs w:val="22"/>
              </w:rPr>
              <w:t xml:space="preserve">If there is a </w:t>
            </w:r>
            <w:r w:rsidRPr="00163786">
              <w:rPr>
                <w:rStyle w:val="A2"/>
                <w:rFonts w:ascii="Arial" w:eastAsiaTheme="majorEastAsia" w:hAnsi="Arial" w:cs="Arial"/>
                <w:color w:val="auto"/>
                <w:sz w:val="22"/>
                <w:szCs w:val="22"/>
              </w:rPr>
              <w:t xml:space="preserve">refusal to sign application form and declaration form; </w:t>
            </w:r>
          </w:p>
          <w:p w14:paraId="2B9CBFB9" w14:textId="77777777" w:rsidR="00C0566C" w:rsidRPr="00163786" w:rsidRDefault="00C0566C" w:rsidP="00C0566C">
            <w:pPr>
              <w:pStyle w:val="Pa3"/>
              <w:numPr>
                <w:ilvl w:val="0"/>
                <w:numId w:val="8"/>
              </w:numPr>
              <w:rPr>
                <w:rFonts w:ascii="Arial" w:hAnsi="Arial" w:cs="Arial"/>
                <w:sz w:val="22"/>
                <w:szCs w:val="22"/>
              </w:rPr>
            </w:pPr>
            <w:r w:rsidRPr="00163786">
              <w:rPr>
                <w:rStyle w:val="A9"/>
                <w:rFonts w:ascii="Arial" w:hAnsi="Arial" w:cs="Arial"/>
                <w:sz w:val="22"/>
                <w:szCs w:val="22"/>
              </w:rPr>
              <w:t xml:space="preserve">If there is </w:t>
            </w:r>
            <w:r w:rsidRPr="00163786">
              <w:rPr>
                <w:rStyle w:val="A2"/>
                <w:rFonts w:ascii="Arial" w:eastAsiaTheme="majorEastAsia" w:hAnsi="Arial" w:cs="Arial"/>
                <w:color w:val="auto"/>
                <w:sz w:val="22"/>
                <w:szCs w:val="22"/>
              </w:rPr>
              <w:t xml:space="preserve">insufficient documentary evidence of identification; </w:t>
            </w:r>
          </w:p>
          <w:p w14:paraId="6E5AA890" w14:textId="06C9D62F" w:rsidR="006E0152" w:rsidRPr="00000889" w:rsidRDefault="00C0566C" w:rsidP="006E0152">
            <w:pPr>
              <w:pStyle w:val="Pa3"/>
              <w:numPr>
                <w:ilvl w:val="0"/>
                <w:numId w:val="8"/>
              </w:numPr>
              <w:rPr>
                <w:rFonts w:ascii="Arial" w:hAnsi="Arial" w:cs="Arial"/>
                <w:sz w:val="22"/>
                <w:szCs w:val="22"/>
              </w:rPr>
            </w:pPr>
            <w:r w:rsidRPr="00163786">
              <w:rPr>
                <w:rStyle w:val="A9"/>
                <w:rFonts w:ascii="Arial" w:hAnsi="Arial" w:cs="Arial"/>
                <w:sz w:val="22"/>
                <w:szCs w:val="22"/>
              </w:rPr>
              <w:t xml:space="preserve">If there is a </w:t>
            </w:r>
            <w:r w:rsidRPr="00163786">
              <w:rPr>
                <w:rStyle w:val="A2"/>
                <w:rFonts w:ascii="Arial" w:eastAsiaTheme="majorEastAsia" w:hAnsi="Arial" w:cs="Arial"/>
                <w:color w:val="auto"/>
                <w:sz w:val="22"/>
                <w:szCs w:val="22"/>
              </w:rPr>
              <w:t xml:space="preserve">concealing of information on one’s suitability to working with children. </w:t>
            </w:r>
          </w:p>
        </w:tc>
      </w:tr>
    </w:tbl>
    <w:p w14:paraId="2735B8A4" w14:textId="77777777" w:rsidR="006E0152" w:rsidRPr="002A3CB1" w:rsidRDefault="006E0152" w:rsidP="006E0152">
      <w:pPr>
        <w:rPr>
          <w:rFonts w:ascii="Arial" w:hAnsi="Arial"/>
          <w:sz w:val="22"/>
          <w:szCs w:val="22"/>
        </w:rPr>
      </w:pPr>
      <w:bookmarkStart w:id="11" w:name="_Toc454360036"/>
      <w:bookmarkStart w:id="12" w:name="_Toc454445298"/>
      <w:bookmarkStart w:id="13" w:name="_Toc454445458"/>
      <w:bookmarkStart w:id="14" w:name="_Toc454445528"/>
    </w:p>
    <w:p w14:paraId="52F9298B" w14:textId="77777777" w:rsidR="006E0152" w:rsidRPr="002A3CB1" w:rsidRDefault="006E0152" w:rsidP="006E0152">
      <w:pPr>
        <w:pStyle w:val="ListParagraph"/>
        <w:numPr>
          <w:ilvl w:val="0"/>
          <w:numId w:val="3"/>
        </w:numPr>
        <w:ind w:left="426" w:hanging="426"/>
        <w:rPr>
          <w:rFonts w:ascii="Arial" w:hAnsi="Arial"/>
          <w:b/>
          <w:sz w:val="22"/>
          <w:szCs w:val="22"/>
        </w:rPr>
      </w:pPr>
      <w:r w:rsidRPr="002A3CB1">
        <w:rPr>
          <w:rFonts w:ascii="Arial" w:hAnsi="Arial"/>
          <w:b/>
          <w:sz w:val="22"/>
          <w:szCs w:val="22"/>
        </w:rPr>
        <w:t>Procedures</w:t>
      </w:r>
      <w:bookmarkEnd w:id="11"/>
      <w:bookmarkEnd w:id="12"/>
      <w:bookmarkEnd w:id="13"/>
      <w:bookmarkEnd w:id="14"/>
    </w:p>
    <w:p w14:paraId="3BBB9BA7" w14:textId="77777777" w:rsidR="006E0152" w:rsidRPr="002A3CB1" w:rsidRDefault="006E0152" w:rsidP="006E0152">
      <w:pPr>
        <w:rPr>
          <w:rFonts w:ascii="Arial" w:hAnsi="Arial"/>
          <w:sz w:val="22"/>
          <w:szCs w:val="22"/>
        </w:rPr>
      </w:pPr>
    </w:p>
    <w:p w14:paraId="274F2D90" w14:textId="77777777" w:rsidR="006E0152" w:rsidRPr="002A3CB1" w:rsidRDefault="006E0152" w:rsidP="006E0152">
      <w:pPr>
        <w:rPr>
          <w:rFonts w:ascii="Arial" w:hAnsi="Arial"/>
          <w:sz w:val="22"/>
          <w:szCs w:val="22"/>
        </w:rPr>
      </w:pPr>
      <w:r w:rsidRPr="002A3CB1">
        <w:rPr>
          <w:rFonts w:ascii="Arial" w:hAnsi="Arial"/>
          <w:sz w:val="22"/>
          <w:szCs w:val="22"/>
        </w:rPr>
        <w:t xml:space="preserve">Our Child Safeguarding Statement has been developed in line with requirements under the Children First Act 2015, </w:t>
      </w:r>
      <w:r w:rsidRPr="002A3CB1">
        <w:rPr>
          <w:rFonts w:ascii="Arial" w:hAnsi="Arial"/>
          <w:i/>
          <w:sz w:val="22"/>
          <w:szCs w:val="22"/>
        </w:rPr>
        <w:t>Children First: National Guidance for the Protection and Welfare of Children</w:t>
      </w:r>
      <w:r w:rsidRPr="002A3CB1">
        <w:rPr>
          <w:rFonts w:ascii="Arial" w:hAnsi="Arial"/>
          <w:sz w:val="22"/>
          <w:szCs w:val="22"/>
        </w:rPr>
        <w:t xml:space="preserve"> (2017), and Tusla’s </w:t>
      </w:r>
      <w:r w:rsidRPr="002A3CB1">
        <w:rPr>
          <w:rFonts w:ascii="Arial" w:hAnsi="Arial"/>
          <w:i/>
          <w:sz w:val="22"/>
          <w:szCs w:val="22"/>
        </w:rPr>
        <w:t>Child Safeguarding: A Guide for Policy, Procedure and Practice</w:t>
      </w:r>
      <w:r w:rsidRPr="002A3CB1">
        <w:rPr>
          <w:rFonts w:ascii="Arial" w:hAnsi="Arial"/>
          <w:sz w:val="22"/>
          <w:szCs w:val="22"/>
        </w:rPr>
        <w:t xml:space="preserve">. In addition to the procedures listed in our risk assessment, the following procedures support our intention to safeguard children while they are availing of our service: </w:t>
      </w:r>
    </w:p>
    <w:p w14:paraId="2393A343" w14:textId="77777777" w:rsidR="006E0152" w:rsidRPr="002A3CB1" w:rsidRDefault="006E0152" w:rsidP="006E0152">
      <w:pPr>
        <w:rPr>
          <w:rFonts w:ascii="Arial" w:hAnsi="Arial"/>
          <w:sz w:val="22"/>
          <w:szCs w:val="22"/>
        </w:rPr>
      </w:pPr>
    </w:p>
    <w:p w14:paraId="71EB12C9" w14:textId="77777777" w:rsidR="006E0152" w:rsidRPr="002A3CB1" w:rsidRDefault="006E0152" w:rsidP="006E0152">
      <w:pPr>
        <w:pStyle w:val="ListParagraph"/>
        <w:numPr>
          <w:ilvl w:val="0"/>
          <w:numId w:val="4"/>
        </w:numPr>
        <w:rPr>
          <w:rFonts w:ascii="Arial" w:hAnsi="Arial"/>
          <w:sz w:val="22"/>
          <w:szCs w:val="22"/>
        </w:rPr>
      </w:pPr>
      <w:r w:rsidRPr="002A3CB1">
        <w:rPr>
          <w:rFonts w:ascii="Arial" w:hAnsi="Arial"/>
          <w:sz w:val="22"/>
          <w:szCs w:val="22"/>
        </w:rPr>
        <w:t>Procedure for the management of allegations of abuse or misconduct against workers/volunteers of a child availing of our service;</w:t>
      </w:r>
    </w:p>
    <w:p w14:paraId="623C93DE" w14:textId="77777777" w:rsidR="006E0152" w:rsidRPr="002A3CB1" w:rsidRDefault="006E0152" w:rsidP="006E0152">
      <w:pPr>
        <w:pStyle w:val="ListParagraph"/>
        <w:numPr>
          <w:ilvl w:val="0"/>
          <w:numId w:val="4"/>
        </w:numPr>
        <w:rPr>
          <w:rFonts w:ascii="Arial" w:hAnsi="Arial"/>
          <w:sz w:val="22"/>
          <w:szCs w:val="22"/>
        </w:rPr>
      </w:pPr>
      <w:r w:rsidRPr="002A3CB1">
        <w:rPr>
          <w:rFonts w:ascii="Arial" w:hAnsi="Arial"/>
          <w:sz w:val="22"/>
          <w:szCs w:val="22"/>
        </w:rPr>
        <w:t>Procedure for the safe recruitment and selection of workers and volunteers to work with children;</w:t>
      </w:r>
    </w:p>
    <w:p w14:paraId="49018663" w14:textId="77777777" w:rsidR="006E0152" w:rsidRPr="002A3CB1" w:rsidRDefault="006E0152" w:rsidP="006E0152">
      <w:pPr>
        <w:pStyle w:val="ListParagraph"/>
        <w:numPr>
          <w:ilvl w:val="0"/>
          <w:numId w:val="4"/>
        </w:numPr>
        <w:rPr>
          <w:rFonts w:ascii="Arial" w:hAnsi="Arial"/>
          <w:sz w:val="22"/>
          <w:szCs w:val="22"/>
        </w:rPr>
      </w:pPr>
      <w:r w:rsidRPr="002A3CB1">
        <w:rPr>
          <w:rFonts w:ascii="Arial" w:hAnsi="Arial"/>
          <w:sz w:val="22"/>
          <w:szCs w:val="22"/>
        </w:rPr>
        <w:t>Procedure for provision of and access to child safeguarding training and information, including the identification of the occurrence of harm;</w:t>
      </w:r>
    </w:p>
    <w:p w14:paraId="5A8D5C87" w14:textId="77777777" w:rsidR="006E0152" w:rsidRPr="002A3CB1" w:rsidRDefault="006E0152" w:rsidP="006E0152">
      <w:pPr>
        <w:pStyle w:val="ListParagraph"/>
        <w:numPr>
          <w:ilvl w:val="0"/>
          <w:numId w:val="4"/>
        </w:numPr>
        <w:rPr>
          <w:rFonts w:ascii="Arial" w:hAnsi="Arial"/>
          <w:sz w:val="22"/>
          <w:szCs w:val="22"/>
        </w:rPr>
      </w:pPr>
      <w:r w:rsidRPr="002A3CB1">
        <w:rPr>
          <w:rFonts w:ascii="Arial" w:hAnsi="Arial"/>
          <w:sz w:val="22"/>
          <w:szCs w:val="22"/>
        </w:rPr>
        <w:t>Procedure for the reporting of child protection or welfare concerns to Tusla;</w:t>
      </w:r>
    </w:p>
    <w:p w14:paraId="7D194179" w14:textId="77777777" w:rsidR="006E0152" w:rsidRPr="002A3CB1" w:rsidRDefault="006E0152" w:rsidP="006E0152">
      <w:pPr>
        <w:pStyle w:val="ListParagraph"/>
        <w:numPr>
          <w:ilvl w:val="0"/>
          <w:numId w:val="4"/>
        </w:numPr>
        <w:rPr>
          <w:rFonts w:ascii="Arial" w:hAnsi="Arial"/>
          <w:sz w:val="22"/>
          <w:szCs w:val="22"/>
        </w:rPr>
      </w:pPr>
      <w:r w:rsidRPr="002A3CB1">
        <w:rPr>
          <w:rFonts w:ascii="Arial" w:hAnsi="Arial"/>
          <w:sz w:val="22"/>
          <w:szCs w:val="22"/>
        </w:rPr>
        <w:t>Procedure for appointing a relevant person.</w:t>
      </w:r>
    </w:p>
    <w:p w14:paraId="4CF1AD2D" w14:textId="77777777" w:rsidR="006E0152" w:rsidRPr="002A3CB1" w:rsidRDefault="006E0152" w:rsidP="006E0152">
      <w:pPr>
        <w:rPr>
          <w:rFonts w:ascii="Arial" w:hAnsi="Arial"/>
          <w:sz w:val="22"/>
          <w:szCs w:val="22"/>
        </w:rPr>
      </w:pPr>
    </w:p>
    <w:p w14:paraId="6E8D78AD" w14:textId="77777777" w:rsidR="006E0152" w:rsidRPr="002A3CB1" w:rsidRDefault="006E0152" w:rsidP="006E0152">
      <w:pPr>
        <w:rPr>
          <w:rFonts w:ascii="Arial" w:hAnsi="Arial"/>
          <w:sz w:val="22"/>
          <w:szCs w:val="22"/>
        </w:rPr>
      </w:pPr>
      <w:r w:rsidRPr="002A3CB1">
        <w:rPr>
          <w:rFonts w:ascii="Arial" w:hAnsi="Arial"/>
          <w:sz w:val="22"/>
          <w:szCs w:val="22"/>
        </w:rPr>
        <w:t>All procedures listed are available upon request.</w:t>
      </w:r>
    </w:p>
    <w:p w14:paraId="445B832D" w14:textId="77777777" w:rsidR="006E0152" w:rsidRPr="002A3CB1" w:rsidRDefault="006E0152" w:rsidP="006E0152">
      <w:pPr>
        <w:rPr>
          <w:rFonts w:ascii="Arial" w:hAnsi="Arial"/>
          <w:sz w:val="22"/>
          <w:szCs w:val="22"/>
        </w:rPr>
      </w:pPr>
      <w:bookmarkStart w:id="15" w:name="_Toc454360037"/>
      <w:bookmarkStart w:id="16" w:name="_Toc454445299"/>
      <w:bookmarkStart w:id="17" w:name="_Toc454445459"/>
      <w:bookmarkStart w:id="18" w:name="_Toc454445529"/>
    </w:p>
    <w:p w14:paraId="05C438C8" w14:textId="77777777" w:rsidR="006E0152" w:rsidRPr="002A3CB1" w:rsidRDefault="006E0152" w:rsidP="006E0152">
      <w:pPr>
        <w:pStyle w:val="ListParagraph"/>
        <w:numPr>
          <w:ilvl w:val="0"/>
          <w:numId w:val="3"/>
        </w:numPr>
        <w:ind w:left="426" w:hanging="426"/>
        <w:rPr>
          <w:rFonts w:ascii="Arial" w:hAnsi="Arial"/>
          <w:b/>
          <w:sz w:val="22"/>
          <w:szCs w:val="22"/>
        </w:rPr>
      </w:pPr>
      <w:r w:rsidRPr="002A3CB1">
        <w:rPr>
          <w:rFonts w:ascii="Arial" w:hAnsi="Arial"/>
          <w:b/>
          <w:sz w:val="22"/>
          <w:szCs w:val="22"/>
        </w:rPr>
        <w:t>Implementation</w:t>
      </w:r>
      <w:bookmarkEnd w:id="15"/>
      <w:bookmarkEnd w:id="16"/>
      <w:bookmarkEnd w:id="17"/>
      <w:bookmarkEnd w:id="18"/>
    </w:p>
    <w:p w14:paraId="53C3058E" w14:textId="77777777" w:rsidR="006E0152" w:rsidRPr="002A3CB1" w:rsidRDefault="006E0152" w:rsidP="006E0152">
      <w:pPr>
        <w:rPr>
          <w:rFonts w:ascii="Arial" w:hAnsi="Arial"/>
          <w:sz w:val="22"/>
          <w:szCs w:val="22"/>
        </w:rPr>
      </w:pPr>
    </w:p>
    <w:p w14:paraId="7BB8FB90" w14:textId="77777777" w:rsidR="006E0152" w:rsidRPr="002A3CB1" w:rsidRDefault="006E0152" w:rsidP="006E0152">
      <w:pPr>
        <w:rPr>
          <w:rFonts w:ascii="Arial" w:hAnsi="Arial"/>
          <w:sz w:val="22"/>
          <w:szCs w:val="22"/>
        </w:rPr>
      </w:pPr>
      <w:r w:rsidRPr="002A3CB1">
        <w:rPr>
          <w:rFonts w:ascii="Arial" w:hAnsi="Arial"/>
          <w:sz w:val="22"/>
          <w:szCs w:val="22"/>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0297C17F" w14:textId="77777777" w:rsidR="006E0152" w:rsidRPr="002A3CB1" w:rsidRDefault="006E0152" w:rsidP="006E0152">
      <w:pPr>
        <w:rPr>
          <w:rFonts w:ascii="Arial" w:hAnsi="Arial"/>
          <w:sz w:val="22"/>
          <w:szCs w:val="22"/>
        </w:rPr>
      </w:pPr>
    </w:p>
    <w:p w14:paraId="12E6D41F" w14:textId="1F468183" w:rsidR="006E0152" w:rsidRPr="002A3CB1" w:rsidRDefault="006E0152" w:rsidP="006E0152">
      <w:pPr>
        <w:rPr>
          <w:rFonts w:ascii="Arial" w:hAnsi="Arial"/>
          <w:sz w:val="22"/>
          <w:szCs w:val="22"/>
        </w:rPr>
      </w:pPr>
      <w:r w:rsidRPr="002A3CB1">
        <w:rPr>
          <w:rFonts w:ascii="Arial" w:hAnsi="Arial"/>
          <w:sz w:val="22"/>
          <w:szCs w:val="22"/>
        </w:rPr>
        <w:t xml:space="preserve">This Child Safeguarding Statement will be reviewed on </w:t>
      </w:r>
      <w:r w:rsidR="00463E21" w:rsidRPr="002A3CB1">
        <w:rPr>
          <w:rFonts w:ascii="Arial" w:hAnsi="Arial"/>
          <w:sz w:val="22"/>
          <w:szCs w:val="22"/>
        </w:rPr>
        <w:t>August 2023</w:t>
      </w:r>
      <w:r w:rsidRPr="002A3CB1">
        <w:rPr>
          <w:rFonts w:ascii="Arial" w:hAnsi="Arial"/>
          <w:sz w:val="22"/>
          <w:szCs w:val="22"/>
          <w:u w:val="single"/>
        </w:rPr>
        <w:tab/>
      </w:r>
      <w:r w:rsidRPr="002A3CB1">
        <w:rPr>
          <w:rFonts w:ascii="Arial" w:hAnsi="Arial"/>
          <w:sz w:val="22"/>
          <w:szCs w:val="22"/>
        </w:rPr>
        <w:t>, or as soon as practicable after there has been a material change in any matter to which the statement refers.</w:t>
      </w:r>
    </w:p>
    <w:p w14:paraId="3C645878" w14:textId="77777777" w:rsidR="006E0152" w:rsidRPr="002A3CB1" w:rsidRDefault="006E0152" w:rsidP="006E0152">
      <w:pPr>
        <w:rPr>
          <w:rFonts w:ascii="Arial" w:hAnsi="Arial"/>
          <w:sz w:val="22"/>
          <w:szCs w:val="22"/>
        </w:rPr>
      </w:pPr>
    </w:p>
    <w:p w14:paraId="70A2CEB4" w14:textId="768C15F2" w:rsidR="006E0152" w:rsidRPr="002A3CB1" w:rsidRDefault="006E0152" w:rsidP="006E0152">
      <w:pPr>
        <w:rPr>
          <w:rFonts w:ascii="Arial" w:hAnsi="Arial"/>
          <w:sz w:val="22"/>
          <w:szCs w:val="22"/>
        </w:rPr>
      </w:pPr>
    </w:p>
    <w:p w14:paraId="30E0CACC" w14:textId="04345A34" w:rsidR="006E0152" w:rsidRPr="002A3CB1" w:rsidRDefault="002A3CB1" w:rsidP="006E0152">
      <w:pPr>
        <w:rPr>
          <w:rFonts w:ascii="Arial" w:hAnsi="Arial"/>
          <w:sz w:val="22"/>
          <w:szCs w:val="22"/>
        </w:rPr>
      </w:pPr>
      <w:r w:rsidRPr="002A3CB1">
        <w:rPr>
          <w:rFonts w:ascii="Arial" w:hAnsi="Arial"/>
          <w:sz w:val="22"/>
          <w:szCs w:val="22"/>
        </w:rPr>
        <w:t xml:space="preserve">Signed: </w:t>
      </w:r>
      <w:r w:rsidR="006E0152" w:rsidRPr="002A3CB1">
        <w:rPr>
          <w:rFonts w:ascii="Arial" w:hAnsi="Arial"/>
          <w:sz w:val="22"/>
          <w:szCs w:val="22"/>
        </w:rPr>
        <w:t>_________</w:t>
      </w:r>
      <w:r w:rsidRPr="002A3CB1">
        <w:rPr>
          <w:rFonts w:ascii="Arial" w:hAnsi="Arial"/>
          <w:sz w:val="22"/>
          <w:szCs w:val="22"/>
        </w:rPr>
        <w:t>_____</w:t>
      </w:r>
      <w:r w:rsidR="001E64D8" w:rsidRPr="001E64D8">
        <w:rPr>
          <w:rFonts w:ascii="Arial" w:hAnsi="Arial"/>
          <w:noProof/>
          <w:sz w:val="22"/>
          <w:szCs w:val="22"/>
        </w:rPr>
        <w:drawing>
          <wp:inline distT="0" distB="0" distL="0" distR="0" wp14:anchorId="677537A2" wp14:editId="16E42B47">
            <wp:extent cx="12033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325" cy="419100"/>
                    </a:xfrm>
                    <a:prstGeom prst="rect">
                      <a:avLst/>
                    </a:prstGeom>
                    <a:noFill/>
                    <a:ln>
                      <a:noFill/>
                    </a:ln>
                  </pic:spPr>
                </pic:pic>
              </a:graphicData>
            </a:graphic>
          </wp:inline>
        </w:drawing>
      </w:r>
      <w:r w:rsidRPr="002A3CB1">
        <w:rPr>
          <w:rFonts w:ascii="Arial" w:hAnsi="Arial"/>
          <w:sz w:val="22"/>
          <w:szCs w:val="22"/>
        </w:rPr>
        <w:t xml:space="preserve">________________ </w:t>
      </w:r>
    </w:p>
    <w:p w14:paraId="3AD0D43E" w14:textId="2BA66656" w:rsidR="006E0152" w:rsidRPr="002A3CB1" w:rsidRDefault="002A3CB1" w:rsidP="006E0152">
      <w:pPr>
        <w:rPr>
          <w:rFonts w:ascii="Arial" w:hAnsi="Arial"/>
          <w:sz w:val="22"/>
          <w:szCs w:val="22"/>
        </w:rPr>
      </w:pPr>
      <w:r w:rsidRPr="002A3CB1">
        <w:rPr>
          <w:rFonts w:ascii="Arial" w:hAnsi="Arial"/>
          <w:sz w:val="22"/>
          <w:szCs w:val="22"/>
        </w:rPr>
        <w:t>Mary Curran</w:t>
      </w:r>
      <w:bookmarkStart w:id="19" w:name="_GoBack"/>
      <w:bookmarkEnd w:id="19"/>
    </w:p>
    <w:p w14:paraId="139A91AB" w14:textId="3A6D8C5D" w:rsidR="002A3CB1" w:rsidRPr="002A3CB1" w:rsidRDefault="002A3CB1" w:rsidP="006E0152">
      <w:pPr>
        <w:rPr>
          <w:rFonts w:ascii="Arial" w:hAnsi="Arial"/>
          <w:sz w:val="22"/>
          <w:szCs w:val="22"/>
        </w:rPr>
      </w:pPr>
      <w:r w:rsidRPr="002A3CB1">
        <w:rPr>
          <w:rFonts w:ascii="Arial" w:hAnsi="Arial"/>
          <w:sz w:val="22"/>
          <w:szCs w:val="22"/>
        </w:rPr>
        <w:t xml:space="preserve">Designated </w:t>
      </w:r>
      <w:r w:rsidR="000E1618">
        <w:rPr>
          <w:rFonts w:ascii="Arial" w:hAnsi="Arial"/>
          <w:sz w:val="22"/>
          <w:szCs w:val="22"/>
        </w:rPr>
        <w:t xml:space="preserve">Liaison </w:t>
      </w:r>
      <w:r w:rsidRPr="002A3CB1">
        <w:rPr>
          <w:rFonts w:ascii="Arial" w:hAnsi="Arial"/>
          <w:sz w:val="22"/>
          <w:szCs w:val="22"/>
        </w:rPr>
        <w:t>Person</w:t>
      </w:r>
    </w:p>
    <w:p w14:paraId="323083B5" w14:textId="2BD2FDE7" w:rsidR="002A3CB1" w:rsidRPr="002A3CB1" w:rsidRDefault="002A3CB1" w:rsidP="006E0152">
      <w:pPr>
        <w:rPr>
          <w:rFonts w:ascii="Arial" w:hAnsi="Arial"/>
          <w:sz w:val="22"/>
          <w:szCs w:val="22"/>
        </w:rPr>
      </w:pPr>
      <w:r w:rsidRPr="002A3CB1">
        <w:rPr>
          <w:rFonts w:ascii="Arial" w:hAnsi="Arial"/>
          <w:sz w:val="22"/>
          <w:szCs w:val="22"/>
        </w:rPr>
        <w:t>WhistleBlast Quartet</w:t>
      </w:r>
    </w:p>
    <w:p w14:paraId="5D89A799" w14:textId="64F00E6A" w:rsidR="002A3CB1" w:rsidRPr="002A3CB1" w:rsidRDefault="00E1184B" w:rsidP="006E0152">
      <w:pPr>
        <w:rPr>
          <w:rFonts w:ascii="Arial" w:hAnsi="Arial"/>
          <w:sz w:val="22"/>
          <w:szCs w:val="22"/>
        </w:rPr>
      </w:pPr>
      <w:hyperlink r:id="rId8" w:history="1">
        <w:r w:rsidR="002A3CB1" w:rsidRPr="002A3CB1">
          <w:rPr>
            <w:rStyle w:val="Hyperlink"/>
            <w:rFonts w:ascii="Arial" w:hAnsi="Arial"/>
            <w:sz w:val="22"/>
            <w:szCs w:val="22"/>
          </w:rPr>
          <w:t>whistleblastquartet@gmail.com</w:t>
        </w:r>
      </w:hyperlink>
    </w:p>
    <w:p w14:paraId="7086F098" w14:textId="67062283" w:rsidR="002A3CB1" w:rsidRPr="002A3CB1" w:rsidRDefault="002A3CB1" w:rsidP="002A3CB1">
      <w:pPr>
        <w:autoSpaceDE/>
        <w:autoSpaceDN/>
        <w:adjustRightInd/>
        <w:rPr>
          <w:rFonts w:ascii="Arial" w:eastAsia="Times New Roman" w:hAnsi="Arial"/>
          <w:sz w:val="22"/>
          <w:szCs w:val="22"/>
          <w:lang w:val="en-GB" w:eastAsia="en-GB"/>
        </w:rPr>
      </w:pPr>
      <w:r w:rsidRPr="002A3CB1">
        <w:rPr>
          <w:rFonts w:ascii="Arial" w:eastAsia="Times New Roman" w:hAnsi="Arial"/>
          <w:color w:val="000000"/>
          <w:sz w:val="22"/>
          <w:szCs w:val="22"/>
          <w:shd w:val="clear" w:color="auto" w:fill="FFFFFF"/>
          <w:lang w:val="en-GB" w:eastAsia="en-GB"/>
        </w:rPr>
        <w:t>+353(87) 224 7643</w:t>
      </w:r>
    </w:p>
    <w:p w14:paraId="786B2A15" w14:textId="77777777" w:rsidR="00E66871" w:rsidRPr="002A3CB1" w:rsidRDefault="00E66871" w:rsidP="006E0152">
      <w:pPr>
        <w:rPr>
          <w:rFonts w:ascii="Arial" w:hAnsi="Arial"/>
          <w:sz w:val="22"/>
          <w:szCs w:val="22"/>
        </w:rPr>
      </w:pPr>
    </w:p>
    <w:p w14:paraId="423A667C" w14:textId="77777777" w:rsidR="006E0152" w:rsidRPr="002A3CB1" w:rsidRDefault="006E0152" w:rsidP="006E0152">
      <w:pPr>
        <w:rPr>
          <w:rFonts w:ascii="Arial" w:hAnsi="Arial"/>
          <w:sz w:val="22"/>
          <w:szCs w:val="22"/>
        </w:rPr>
      </w:pPr>
    </w:p>
    <w:p w14:paraId="664A4043" w14:textId="0DF38C77" w:rsidR="006E0152" w:rsidRPr="002A3CB1" w:rsidRDefault="002A3CB1" w:rsidP="00000889">
      <w:pPr>
        <w:autoSpaceDE/>
        <w:autoSpaceDN/>
        <w:adjustRightInd/>
        <w:spacing w:after="200" w:line="276" w:lineRule="auto"/>
        <w:rPr>
          <w:rFonts w:ascii="Arial" w:hAnsi="Arial"/>
          <w:sz w:val="22"/>
          <w:szCs w:val="22"/>
        </w:rPr>
      </w:pPr>
      <w:r w:rsidRPr="002A3CB1">
        <w:rPr>
          <w:rFonts w:ascii="Arial" w:hAnsi="Arial"/>
          <w:sz w:val="22"/>
          <w:szCs w:val="22"/>
        </w:rPr>
        <w:t>For queries please contact Mary Curran.</w:t>
      </w:r>
    </w:p>
    <w:sectPr w:rsidR="006E0152" w:rsidRPr="002A3CB1" w:rsidSect="00EA03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A80A" w14:textId="77777777" w:rsidR="00E1184B" w:rsidRDefault="00E1184B" w:rsidP="00AA6102">
      <w:r>
        <w:separator/>
      </w:r>
    </w:p>
  </w:endnote>
  <w:endnote w:type="continuationSeparator" w:id="0">
    <w:p w14:paraId="69E98789" w14:textId="77777777" w:rsidR="00E1184B" w:rsidRDefault="00E1184B" w:rsidP="00AA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anist 77 7 B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F8ED" w14:textId="77777777" w:rsidR="00E1184B" w:rsidRDefault="00E1184B" w:rsidP="00AA6102">
      <w:r>
        <w:separator/>
      </w:r>
    </w:p>
  </w:footnote>
  <w:footnote w:type="continuationSeparator" w:id="0">
    <w:p w14:paraId="5B18DF11" w14:textId="77777777" w:rsidR="00E1184B" w:rsidRDefault="00E1184B" w:rsidP="00AA6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0C3"/>
    <w:multiLevelType w:val="hybridMultilevel"/>
    <w:tmpl w:val="9300E7D0"/>
    <w:lvl w:ilvl="0" w:tplc="1E6671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6B2074"/>
    <w:multiLevelType w:val="hybridMultilevel"/>
    <w:tmpl w:val="883CC8A0"/>
    <w:lvl w:ilvl="0" w:tplc="1E6671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D50C9"/>
    <w:multiLevelType w:val="hybridMultilevel"/>
    <w:tmpl w:val="D5E42A26"/>
    <w:lvl w:ilvl="0" w:tplc="1E6671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01"/>
    <w:rsid w:val="00000889"/>
    <w:rsid w:val="000D04DE"/>
    <w:rsid w:val="000E1618"/>
    <w:rsid w:val="000E6794"/>
    <w:rsid w:val="00115599"/>
    <w:rsid w:val="001972AA"/>
    <w:rsid w:val="001E64D8"/>
    <w:rsid w:val="002A3CB1"/>
    <w:rsid w:val="002A49C4"/>
    <w:rsid w:val="002C0F70"/>
    <w:rsid w:val="00332A8D"/>
    <w:rsid w:val="003C77D8"/>
    <w:rsid w:val="00463E21"/>
    <w:rsid w:val="00497819"/>
    <w:rsid w:val="00581D94"/>
    <w:rsid w:val="005B774D"/>
    <w:rsid w:val="006E0152"/>
    <w:rsid w:val="008455C9"/>
    <w:rsid w:val="009220EB"/>
    <w:rsid w:val="00927D2E"/>
    <w:rsid w:val="009F4CA3"/>
    <w:rsid w:val="00AA6102"/>
    <w:rsid w:val="00B81967"/>
    <w:rsid w:val="00C0566C"/>
    <w:rsid w:val="00CA779D"/>
    <w:rsid w:val="00CC1E82"/>
    <w:rsid w:val="00CC6A7E"/>
    <w:rsid w:val="00D07095"/>
    <w:rsid w:val="00E1184B"/>
    <w:rsid w:val="00E62D01"/>
    <w:rsid w:val="00E66871"/>
    <w:rsid w:val="00EA0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AA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59"/>
    <w:rsid w:val="0092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0EB"/>
    <w:rPr>
      <w:color w:val="0000FF" w:themeColor="hyperlink"/>
      <w:u w:val="single"/>
    </w:rPr>
  </w:style>
  <w:style w:type="character" w:customStyle="1" w:styleId="A2">
    <w:name w:val="A2"/>
    <w:rsid w:val="00AA6102"/>
    <w:rPr>
      <w:color w:val="000000"/>
    </w:rPr>
  </w:style>
  <w:style w:type="character" w:customStyle="1" w:styleId="A6">
    <w:name w:val="A6"/>
    <w:rsid w:val="00AA6102"/>
    <w:rPr>
      <w:color w:val="000000"/>
    </w:rPr>
  </w:style>
  <w:style w:type="paragraph" w:styleId="FootnoteText">
    <w:name w:val="footnote text"/>
    <w:basedOn w:val="Normal"/>
    <w:link w:val="FootnoteTextChar"/>
    <w:rsid w:val="00AA6102"/>
    <w:pPr>
      <w:autoSpaceDE/>
      <w:autoSpaceDN/>
      <w:adjustRightInd/>
    </w:pPr>
    <w:rPr>
      <w:rFonts w:ascii="Times New Roman" w:eastAsia="Times New Roman" w:hAnsi="Times New Roman" w:cs="Times New Roman"/>
      <w:lang w:val="en-GB" w:eastAsia="en-US"/>
    </w:rPr>
  </w:style>
  <w:style w:type="character" w:customStyle="1" w:styleId="FootnoteTextChar">
    <w:name w:val="Footnote Text Char"/>
    <w:basedOn w:val="DefaultParagraphFont"/>
    <w:link w:val="FootnoteText"/>
    <w:rsid w:val="00AA6102"/>
    <w:rPr>
      <w:rFonts w:ascii="Times New Roman" w:eastAsia="Times New Roman" w:hAnsi="Times New Roman" w:cs="Times New Roman"/>
      <w:sz w:val="24"/>
      <w:szCs w:val="24"/>
      <w:lang w:val="en-GB"/>
    </w:rPr>
  </w:style>
  <w:style w:type="character" w:styleId="FootnoteReference">
    <w:name w:val="footnote reference"/>
    <w:rsid w:val="00AA6102"/>
    <w:rPr>
      <w:vertAlign w:val="superscript"/>
    </w:rPr>
  </w:style>
  <w:style w:type="paragraph" w:customStyle="1" w:styleId="Pa3">
    <w:name w:val="Pa3"/>
    <w:basedOn w:val="Normal"/>
    <w:next w:val="Normal"/>
    <w:rsid w:val="005B774D"/>
    <w:pPr>
      <w:spacing w:line="241" w:lineRule="atLeast"/>
    </w:pPr>
    <w:rPr>
      <w:rFonts w:ascii="Humanist 77 7 BT" w:eastAsia="Times New Roman" w:hAnsi="Humanist 77 7 BT" w:cs="Times New Roman"/>
      <w:lang w:val="en-US" w:eastAsia="en-US"/>
    </w:rPr>
  </w:style>
  <w:style w:type="character" w:customStyle="1" w:styleId="A9">
    <w:name w:val="A9"/>
    <w:rsid w:val="00C056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1468">
      <w:bodyDiv w:val="1"/>
      <w:marLeft w:val="0"/>
      <w:marRight w:val="0"/>
      <w:marTop w:val="0"/>
      <w:marBottom w:val="0"/>
      <w:divBdr>
        <w:top w:val="none" w:sz="0" w:space="0" w:color="auto"/>
        <w:left w:val="none" w:sz="0" w:space="0" w:color="auto"/>
        <w:bottom w:val="none" w:sz="0" w:space="0" w:color="auto"/>
        <w:right w:val="none" w:sz="0" w:space="0" w:color="auto"/>
      </w:divBdr>
    </w:div>
    <w:div w:id="16378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Curran</cp:lastModifiedBy>
  <cp:revision>4</cp:revision>
  <cp:lastPrinted>2022-08-08T12:32:00Z</cp:lastPrinted>
  <dcterms:created xsi:type="dcterms:W3CDTF">2022-08-12T14:04:00Z</dcterms:created>
  <dcterms:modified xsi:type="dcterms:W3CDTF">2022-08-12T14:11:00Z</dcterms:modified>
</cp:coreProperties>
</file>